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C6401" w:rsidTr="002C6401">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2C6401">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4050"/>
                          <w:gridCol w:w="300"/>
                          <w:gridCol w:w="4050"/>
                        </w:tblGrid>
                        <w:tr w:rsidR="002C6401">
                          <w:trPr>
                            <w:tblCellSpacing w:w="0" w:type="dxa"/>
                          </w:trPr>
                          <w:tc>
                            <w:tcPr>
                              <w:tcW w:w="0" w:type="auto"/>
                              <w:hideMark/>
                            </w:tcPr>
                            <w:tbl>
                              <w:tblPr>
                                <w:tblpPr w:leftFromText="45" w:rightFromText="45" w:vertAnchor="text"/>
                                <w:tblW w:w="4050" w:type="dxa"/>
                                <w:tblCellSpacing w:w="0" w:type="dxa"/>
                                <w:tblCellMar>
                                  <w:left w:w="0" w:type="dxa"/>
                                  <w:right w:w="0" w:type="dxa"/>
                                </w:tblCellMar>
                                <w:tblLook w:val="04A0" w:firstRow="1" w:lastRow="0" w:firstColumn="1" w:lastColumn="0" w:noHBand="0" w:noVBand="1"/>
                              </w:tblPr>
                              <w:tblGrid>
                                <w:gridCol w:w="4050"/>
                              </w:tblGrid>
                              <w:tr w:rsidR="002C6401">
                                <w:trPr>
                                  <w:tblCellSpacing w:w="0" w:type="dxa"/>
                                </w:trPr>
                                <w:tc>
                                  <w:tcPr>
                                    <w:tcW w:w="0" w:type="auto"/>
                                    <w:hideMark/>
                                  </w:tcPr>
                                  <w:p w:rsidR="002C6401" w:rsidRDefault="002C6401">
                                    <w:pPr>
                                      <w:spacing w:line="360" w:lineRule="auto"/>
                                      <w:jc w:val="center"/>
                                      <w:rPr>
                                        <w:rFonts w:ascii="HelveticaNeue" w:eastAsia="Times New Roman" w:hAnsi="HelveticaNeue"/>
                                        <w:color w:val="333333"/>
                                      </w:rPr>
                                    </w:pPr>
                                    <w:r>
                                      <w:rPr>
                                        <w:rFonts w:ascii="HelveticaNeue" w:eastAsia="Times New Roman" w:hAnsi="HelveticaNeue"/>
                                        <w:noProof/>
                                        <w:color w:val="333333"/>
                                      </w:rPr>
                                      <w:drawing>
                                        <wp:inline distT="0" distB="0" distL="0" distR="0">
                                          <wp:extent cx="1676400" cy="942975"/>
                                          <wp:effectExtent l="0" t="0" r="0" b="9525"/>
                                          <wp:docPr id="2" name="Picture 2" descr="https://images.benchmarkemail.com/client894965/image4897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enchmarkemail.com/client894965/image489787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inline>
                                      </w:drawing>
                                    </w:r>
                                  </w:p>
                                </w:tc>
                              </w:tr>
                            </w:tbl>
                            <w:p w:rsidR="002C6401" w:rsidRDefault="002C6401">
                              <w:pPr>
                                <w:rPr>
                                  <w:rFonts w:eastAsia="Times New Roman"/>
                                  <w:sz w:val="20"/>
                                  <w:szCs w:val="20"/>
                                </w:rPr>
                              </w:pPr>
                            </w:p>
                          </w:tc>
                          <w:tc>
                            <w:tcPr>
                              <w:tcW w:w="0" w:type="auto"/>
                              <w:hideMark/>
                            </w:tcPr>
                            <w:tbl>
                              <w:tblPr>
                                <w:tblW w:w="300" w:type="dxa"/>
                                <w:jc w:val="center"/>
                                <w:tblCellSpacing w:w="0" w:type="dxa"/>
                                <w:tblCellMar>
                                  <w:left w:w="0" w:type="dxa"/>
                                  <w:right w:w="0" w:type="dxa"/>
                                </w:tblCellMar>
                                <w:tblLook w:val="04A0" w:firstRow="1" w:lastRow="0" w:firstColumn="1" w:lastColumn="0" w:noHBand="0" w:noVBand="1"/>
                              </w:tblPr>
                              <w:tblGrid>
                                <w:gridCol w:w="300"/>
                              </w:tblGrid>
                              <w:tr w:rsidR="002C6401">
                                <w:trPr>
                                  <w:tblCellSpacing w:w="0" w:type="dxa"/>
                                  <w:jc w:val="center"/>
                                </w:trPr>
                                <w:tc>
                                  <w:tcPr>
                                    <w:tcW w:w="0" w:type="auto"/>
                                    <w:vAlign w:val="center"/>
                                    <w:hideMark/>
                                  </w:tcPr>
                                  <w:p w:rsidR="002C6401" w:rsidRDefault="002C6401">
                                    <w:pPr>
                                      <w:rPr>
                                        <w:rFonts w:eastAsia="Times New Roman"/>
                                        <w:sz w:val="20"/>
                                        <w:szCs w:val="20"/>
                                      </w:rPr>
                                    </w:pPr>
                                  </w:p>
                                </w:tc>
                              </w:tr>
                            </w:tbl>
                            <w:p w:rsidR="002C6401" w:rsidRDefault="002C6401">
                              <w:pPr>
                                <w:jc w:val="center"/>
                                <w:rPr>
                                  <w:rFonts w:eastAsia="Times New Roman"/>
                                  <w:sz w:val="20"/>
                                  <w:szCs w:val="20"/>
                                </w:rPr>
                              </w:pPr>
                            </w:p>
                          </w:tc>
                          <w:tc>
                            <w:tcPr>
                              <w:tcW w:w="0" w:type="auto"/>
                              <w:hideMark/>
                            </w:tcPr>
                            <w:tbl>
                              <w:tblPr>
                                <w:tblpPr w:leftFromText="45" w:rightFromText="45" w:vertAnchor="text" w:tblpXSpec="right" w:tblpYSpec="center"/>
                                <w:tblW w:w="4050" w:type="dxa"/>
                                <w:tblCellSpacing w:w="0" w:type="dxa"/>
                                <w:tblCellMar>
                                  <w:left w:w="0" w:type="dxa"/>
                                  <w:right w:w="0" w:type="dxa"/>
                                </w:tblCellMar>
                                <w:tblLook w:val="04A0" w:firstRow="1" w:lastRow="0" w:firstColumn="1" w:lastColumn="0" w:noHBand="0" w:noVBand="1"/>
                              </w:tblPr>
                              <w:tblGrid>
                                <w:gridCol w:w="4050"/>
                              </w:tblGrid>
                              <w:tr w:rsidR="002C6401">
                                <w:trPr>
                                  <w:tblCellSpacing w:w="0" w:type="dxa"/>
                                </w:trPr>
                                <w:tc>
                                  <w:tcPr>
                                    <w:tcW w:w="0" w:type="auto"/>
                                    <w:hideMark/>
                                  </w:tcPr>
                                  <w:p w:rsidR="002C6401" w:rsidRDefault="002C6401">
                                    <w:pPr>
                                      <w:spacing w:line="360" w:lineRule="auto"/>
                                      <w:jc w:val="center"/>
                                      <w:rPr>
                                        <w:rFonts w:ascii="HelveticaNeue" w:eastAsia="Times New Roman" w:hAnsi="HelveticaNeue"/>
                                        <w:color w:val="333333"/>
                                      </w:rPr>
                                    </w:pPr>
                                    <w:r>
                                      <w:rPr>
                                        <w:rFonts w:ascii="HelveticaNeue" w:eastAsia="Times New Roman" w:hAnsi="HelveticaNeue"/>
                                        <w:noProof/>
                                        <w:color w:val="333333"/>
                                      </w:rPr>
                                      <w:drawing>
                                        <wp:inline distT="0" distB="0" distL="0" distR="0">
                                          <wp:extent cx="1647825" cy="752475"/>
                                          <wp:effectExtent l="0" t="0" r="9525" b="9525"/>
                                          <wp:docPr id="1" name="Picture 1" descr="https://images.benchmarkemail.com/client894965/image5799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enchmarkemail.com/client894965/image57997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jc w:val="center"/>
              <w:rPr>
                <w:rFonts w:eastAsia="Times New Roman"/>
                <w:sz w:val="20"/>
                <w:szCs w:val="20"/>
              </w:rPr>
            </w:pPr>
          </w:p>
        </w:tc>
      </w:tr>
      <w:tr w:rsidR="002C6401" w:rsidTr="002C6401">
        <w:trPr>
          <w:tblCellSpacing w:w="0" w:type="dxa"/>
          <w:jc w:val="center"/>
        </w:trPr>
        <w:tc>
          <w:tcPr>
            <w:tcW w:w="5000" w:type="pct"/>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tcMar>
                    <w:top w:w="300" w:type="dxa"/>
                    <w:left w:w="300" w:type="dxa"/>
                    <w:bottom w:w="300" w:type="dxa"/>
                    <w:right w:w="300" w:type="dxa"/>
                  </w:tcMar>
                  <w:vAlign w:val="center"/>
                  <w:hideMark/>
                </w:tcPr>
                <w:tbl>
                  <w:tblPr>
                    <w:tblW w:w="5000" w:type="pct"/>
                    <w:tblCellSpacing w:w="0" w:type="dxa"/>
                    <w:tblBorders>
                      <w:top w:val="single" w:sz="36" w:space="0" w:color="B3B3B3"/>
                    </w:tblBorders>
                    <w:tblCellMar>
                      <w:left w:w="0" w:type="dxa"/>
                      <w:right w:w="0" w:type="dxa"/>
                    </w:tblCellMar>
                    <w:tblLook w:val="04A0" w:firstRow="1" w:lastRow="0" w:firstColumn="1" w:lastColumn="0" w:noHBand="0" w:noVBand="1"/>
                  </w:tblPr>
                  <w:tblGrid>
                    <w:gridCol w:w="8400"/>
                  </w:tblGrid>
                  <w:tr w:rsidR="002C6401">
                    <w:trPr>
                      <w:tblCellSpacing w:w="0" w:type="dxa"/>
                    </w:trPr>
                    <w:tc>
                      <w:tcPr>
                        <w:tcW w:w="0" w:type="auto"/>
                        <w:tcBorders>
                          <w:top w:val="nil"/>
                          <w:left w:val="nil"/>
                          <w:bottom w:val="nil"/>
                          <w:right w:val="nil"/>
                        </w:tcBorders>
                        <w:vAlign w:val="center"/>
                        <w:hideMark/>
                      </w:tcPr>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spacing w:line="360" w:lineRule="auto"/>
              <w:jc w:val="center"/>
              <w:rPr>
                <w:rFonts w:ascii="HelveticaNeue" w:eastAsia="Times New Roman" w:hAnsi="HelveticaNeue"/>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tcMar>
                                <w:top w:w="150" w:type="dxa"/>
                                <w:left w:w="300" w:type="dxa"/>
                                <w:bottom w:w="150" w:type="dxa"/>
                                <w:right w:w="300" w:type="dxa"/>
                              </w:tcMar>
                              <w:hideMark/>
                            </w:tcPr>
                            <w:p w:rsidR="002C6401" w:rsidRDefault="002C6401">
                              <w:pPr>
                                <w:spacing w:line="360" w:lineRule="auto"/>
                                <w:rPr>
                                  <w:rFonts w:ascii="Arial" w:eastAsia="Times New Roman" w:hAnsi="Arial" w:cs="Arial"/>
                                  <w:color w:val="383838"/>
                                  <w:sz w:val="21"/>
                                  <w:szCs w:val="21"/>
                                </w:rPr>
                              </w:pPr>
                              <w:r>
                                <w:rPr>
                                  <w:rStyle w:val="Strong"/>
                                  <w:rFonts w:ascii="Arial" w:eastAsia="Times New Roman" w:hAnsi="Arial" w:cs="Arial"/>
                                  <w:color w:val="383838"/>
                                  <w:sz w:val="21"/>
                                  <w:szCs w:val="21"/>
                                </w:rPr>
                                <w:t xml:space="preserve">Update from Govia Thameslink Railway and Network Rail  </w:t>
                              </w: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r w:rsidR="002C6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tcMar>
                                <w:top w:w="150" w:type="dxa"/>
                                <w:left w:w="300" w:type="dxa"/>
                                <w:bottom w:w="150" w:type="dxa"/>
                                <w:right w:w="300" w:type="dxa"/>
                              </w:tcMar>
                              <w:hideMark/>
                            </w:tcPr>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 xml:space="preserve">                                                                                                        3 August 2018  </w:t>
                              </w:r>
                              <w:r>
                                <w:rPr>
                                  <w:rFonts w:ascii="Arial" w:hAnsi="Arial" w:cs="Arial"/>
                                  <w:b/>
                                  <w:bCs/>
                                  <w:color w:val="383838"/>
                                  <w:sz w:val="18"/>
                                  <w:szCs w:val="18"/>
                                </w:rPr>
                                <w:br/>
                              </w:r>
                              <w:r>
                                <w:rPr>
                                  <w:rFonts w:ascii="Arial" w:hAnsi="Arial" w:cs="Arial"/>
                                  <w:b/>
                                  <w:bCs/>
                                  <w:color w:val="383838"/>
                                  <w:sz w:val="18"/>
                                  <w:szCs w:val="18"/>
                                </w:rPr>
                                <w:br/>
                              </w:r>
                              <w:r>
                                <w:rPr>
                                  <w:rFonts w:ascii="Arial" w:hAnsi="Arial" w:cs="Arial"/>
                                  <w:color w:val="383838"/>
                                  <w:sz w:val="18"/>
                                  <w:szCs w:val="18"/>
                                </w:rPr>
                                <w:t>Dear Sir Oliver</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We are writing to provide you with a progress update following the introduction of the interim timetable on 15 July. </w:t>
                              </w:r>
                            </w:p>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Interim timetable update</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The interim timetable on Thameslink and Great Northern routes has been in place for three weeks now and has substantially improved reliability for passengers. Performance this week has hit over 90%. The highlight was on Tuesday the end of day PPM was 94.3% on Great Northern, 88.6% on Thameslink and 90.9% overall for GTR.</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 xml:space="preserve">Earlier this week we released performance information comparing the first two weeks of the timetable with the two weeks prior to its implementation. This data demonstrated an improvement across both routes. </w:t>
                              </w:r>
                              <w:hyperlink r:id="rId6" w:tgtFrame="_blank" w:history="1">
                                <w:r>
                                  <w:rPr>
                                    <w:rStyle w:val="Hyperlink"/>
                                    <w:rFonts w:ascii="Arial" w:hAnsi="Arial" w:cs="Arial"/>
                                    <w:sz w:val="18"/>
                                    <w:szCs w:val="18"/>
                                  </w:rPr>
                                  <w:t>You can view this here</w:t>
                                </w:r>
                              </w:hyperlink>
                              <w:r>
                                <w:rPr>
                                  <w:rFonts w:ascii="Arial" w:hAnsi="Arial" w:cs="Arial"/>
                                  <w:color w:val="383838"/>
                                  <w:sz w:val="18"/>
                                  <w:szCs w:val="18"/>
                                </w:rPr>
                                <w:t>.</w:t>
                              </w:r>
                            </w:p>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Infrastructure and operational issues w/c 30/07/18</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These are the key issues that affected the service this week.  We thought it would be useful for you to have the information to hand as you may receive enquiries about them. </w:t>
                              </w:r>
                            </w:p>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Monday 30 July</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A signal fault just after 8am in Clayton Tunnel (between Preston Park and Hassocks) caused disruption to Southern and Thameslink services, with services thinned out through the area to prevent congestion. The signalling was restored at around 10.20am following repairs to a broken wire inside a track-side electrical cabinet.</w:t>
                              </w:r>
                            </w:p>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Tuesday 31 July</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 xml:space="preserve">A signal failure at </w:t>
                              </w:r>
                              <w:proofErr w:type="spellStart"/>
                              <w:r>
                                <w:rPr>
                                  <w:rFonts w:ascii="Arial" w:hAnsi="Arial" w:cs="Arial"/>
                                  <w:color w:val="383838"/>
                                  <w:sz w:val="18"/>
                                  <w:szCs w:val="18"/>
                                </w:rPr>
                                <w:t>Wivelsfield</w:t>
                              </w:r>
                              <w:proofErr w:type="spellEnd"/>
                              <w:r>
                                <w:rPr>
                                  <w:rFonts w:ascii="Arial" w:hAnsi="Arial" w:cs="Arial"/>
                                  <w:color w:val="383838"/>
                                  <w:sz w:val="18"/>
                                  <w:szCs w:val="18"/>
                                </w:rPr>
                                <w:t xml:space="preserve"> on Tuesday evening meant trains had to be ‘talked past’ a signal for a roughly twenty-minute period, causing delays and a small number of cancellations. An electrical cable was replaced overnight to ensure against any repeat of the fault.</w:t>
                              </w:r>
                            </w:p>
                            <w:p w:rsidR="000F3A3D" w:rsidRDefault="000F3A3D">
                              <w:pPr>
                                <w:pStyle w:val="NormalWeb"/>
                                <w:spacing w:line="300" w:lineRule="auto"/>
                                <w:rPr>
                                  <w:rStyle w:val="Strong"/>
                                  <w:rFonts w:ascii="Arial" w:hAnsi="Arial" w:cs="Arial"/>
                                  <w:color w:val="383838"/>
                                  <w:sz w:val="18"/>
                                  <w:szCs w:val="18"/>
                                </w:rPr>
                              </w:pPr>
                            </w:p>
                            <w:p w:rsidR="002C6401" w:rsidRDefault="002C6401">
                              <w:pPr>
                                <w:pStyle w:val="NormalWeb"/>
                                <w:spacing w:line="300" w:lineRule="auto"/>
                                <w:rPr>
                                  <w:rFonts w:ascii="Arial" w:hAnsi="Arial" w:cs="Arial"/>
                                  <w:color w:val="383838"/>
                                  <w:sz w:val="21"/>
                                  <w:szCs w:val="21"/>
                                </w:rPr>
                              </w:pPr>
                              <w:bookmarkStart w:id="0" w:name="_GoBack"/>
                              <w:bookmarkEnd w:id="0"/>
                              <w:r>
                                <w:rPr>
                                  <w:rStyle w:val="Strong"/>
                                  <w:rFonts w:ascii="Arial" w:hAnsi="Arial" w:cs="Arial"/>
                                  <w:color w:val="383838"/>
                                  <w:sz w:val="18"/>
                                  <w:szCs w:val="18"/>
                                </w:rPr>
                                <w:lastRenderedPageBreak/>
                                <w:t>Thursday 2 August</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Shortly before 11am on Thursday, a major loss of signalling affecting routes into London Bridge and Victoria occurred. The majority of signalling was restored within ten minutes, though knock on disruption continued into the afternoon owing to the large area affected. The fault was traced to a 33kv feeder cable at the Herne Hill relay room, which provides power to signalling systems across south London.</w:t>
                              </w: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spacing w:line="360" w:lineRule="auto"/>
              <w:jc w:val="center"/>
              <w:rPr>
                <w:rFonts w:ascii="HelveticaNeue" w:eastAsia="Times New Roman" w:hAnsi="HelveticaNeue"/>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0"/>
                  </w:tblGrid>
                  <w:tr w:rsidR="002C6401">
                    <w:trPr>
                      <w:jc w:val="center"/>
                    </w:trPr>
                    <w:tc>
                      <w:tcPr>
                        <w:tcW w:w="0" w:type="auto"/>
                        <w:tcBorders>
                          <w:top w:val="single" w:sz="36" w:space="0" w:color="EF1443"/>
                          <w:left w:val="single" w:sz="36" w:space="0" w:color="EF1443"/>
                          <w:bottom w:val="single" w:sz="36" w:space="0" w:color="EF1443"/>
                          <w:right w:val="single" w:sz="36" w:space="0" w:color="EF1443"/>
                        </w:tcBorders>
                        <w:tcMar>
                          <w:top w:w="300" w:type="dxa"/>
                          <w:left w:w="300" w:type="dxa"/>
                          <w:bottom w:w="300" w:type="dxa"/>
                          <w:right w:w="300" w:type="dxa"/>
                        </w:tcMar>
                        <w:hideMark/>
                      </w:tcPr>
                      <w:p w:rsidR="002C6401" w:rsidRDefault="002C6401">
                        <w:pPr>
                          <w:pStyle w:val="NormalWeb"/>
                          <w:spacing w:line="360" w:lineRule="auto"/>
                          <w:jc w:val="center"/>
                          <w:rPr>
                            <w:rFonts w:ascii="Arial" w:hAnsi="Arial" w:cs="Arial"/>
                            <w:color w:val="383838"/>
                            <w:sz w:val="21"/>
                            <w:szCs w:val="21"/>
                          </w:rPr>
                        </w:pPr>
                        <w:r>
                          <w:rPr>
                            <w:rStyle w:val="Strong"/>
                            <w:rFonts w:ascii="Arial" w:hAnsi="Arial" w:cs="Arial"/>
                            <w:color w:val="383838"/>
                            <w:sz w:val="21"/>
                            <w:szCs w:val="21"/>
                          </w:rPr>
                          <w:t>Delay Repay - Reminder</w:t>
                        </w:r>
                      </w:p>
                      <w:p w:rsidR="002C6401" w:rsidRDefault="002C6401">
                        <w:pPr>
                          <w:pStyle w:val="NormalWeb"/>
                          <w:spacing w:line="360" w:lineRule="auto"/>
                          <w:rPr>
                            <w:rFonts w:ascii="Arial" w:hAnsi="Arial" w:cs="Arial"/>
                            <w:color w:val="383838"/>
                            <w:sz w:val="21"/>
                            <w:szCs w:val="21"/>
                          </w:rPr>
                        </w:pPr>
                        <w:r>
                          <w:rPr>
                            <w:rFonts w:ascii="Arial" w:hAnsi="Arial" w:cs="Arial"/>
                            <w:color w:val="383838"/>
                            <w:sz w:val="18"/>
                            <w:szCs w:val="18"/>
                          </w:rPr>
                          <w:t>In last week’s newsletter we informed you that as the service is now more stable, the remit for delay repay was reverting back to the industry standard approach prior to 19 May.</w:t>
                        </w:r>
                      </w:p>
                      <w:p w:rsidR="002C6401" w:rsidRDefault="002C6401">
                        <w:pPr>
                          <w:pStyle w:val="NormalWeb"/>
                          <w:spacing w:line="360" w:lineRule="auto"/>
                          <w:rPr>
                            <w:rFonts w:ascii="Arial" w:hAnsi="Arial" w:cs="Arial"/>
                            <w:color w:val="383838"/>
                            <w:sz w:val="21"/>
                            <w:szCs w:val="21"/>
                          </w:rPr>
                        </w:pPr>
                        <w:r>
                          <w:rPr>
                            <w:rStyle w:val="Emphasis"/>
                            <w:rFonts w:ascii="Arial" w:hAnsi="Arial" w:cs="Arial"/>
                            <w:b/>
                            <w:bCs/>
                            <w:color w:val="383838"/>
                            <w:sz w:val="18"/>
                            <w:szCs w:val="18"/>
                          </w:rPr>
                          <w:t>Up to and on 29 July</w:t>
                        </w:r>
                      </w:p>
                      <w:p w:rsidR="002C6401" w:rsidRDefault="002C6401">
                        <w:pPr>
                          <w:pStyle w:val="NormalWeb"/>
                          <w:spacing w:line="360" w:lineRule="auto"/>
                          <w:rPr>
                            <w:rFonts w:ascii="Arial" w:hAnsi="Arial" w:cs="Arial"/>
                            <w:color w:val="383838"/>
                            <w:sz w:val="21"/>
                            <w:szCs w:val="21"/>
                          </w:rPr>
                        </w:pPr>
                        <w:r>
                          <w:rPr>
                            <w:rFonts w:ascii="Arial" w:hAnsi="Arial" w:cs="Arial"/>
                            <w:color w:val="383838"/>
                            <w:sz w:val="18"/>
                            <w:szCs w:val="18"/>
                          </w:rPr>
                          <w:t>Customers will still be able to claim for services travelled up to and on 29 July on the original May timetables or on the plan of the day</w:t>
                        </w:r>
                      </w:p>
                      <w:p w:rsidR="002C6401" w:rsidRDefault="002C6401">
                        <w:pPr>
                          <w:pStyle w:val="NormalWeb"/>
                          <w:spacing w:line="360" w:lineRule="auto"/>
                          <w:rPr>
                            <w:rFonts w:ascii="Arial" w:hAnsi="Arial" w:cs="Arial"/>
                            <w:color w:val="383838"/>
                            <w:sz w:val="21"/>
                            <w:szCs w:val="21"/>
                          </w:rPr>
                        </w:pPr>
                        <w:r>
                          <w:rPr>
                            <w:rStyle w:val="Emphasis"/>
                            <w:rFonts w:ascii="Arial" w:hAnsi="Arial" w:cs="Arial"/>
                            <w:b/>
                            <w:bCs/>
                            <w:color w:val="383838"/>
                            <w:sz w:val="18"/>
                            <w:szCs w:val="18"/>
                          </w:rPr>
                          <w:t>30 July onwards</w:t>
                        </w:r>
                      </w:p>
                      <w:p w:rsidR="002C6401" w:rsidRDefault="002C6401">
                        <w:pPr>
                          <w:pStyle w:val="NormalWeb"/>
                          <w:spacing w:line="360" w:lineRule="auto"/>
                          <w:rPr>
                            <w:rFonts w:ascii="Arial" w:hAnsi="Arial" w:cs="Arial"/>
                            <w:color w:val="383838"/>
                            <w:sz w:val="21"/>
                            <w:szCs w:val="21"/>
                          </w:rPr>
                        </w:pPr>
                        <w:r>
                          <w:rPr>
                            <w:rFonts w:ascii="Arial" w:hAnsi="Arial" w:cs="Arial"/>
                            <w:color w:val="383838"/>
                            <w:sz w:val="18"/>
                            <w:szCs w:val="18"/>
                          </w:rPr>
                          <w:t>However if a claim is put in for travelling on or after 30 July, it will only be valid on the timetable we are advertising and operating on the day of travel. More information can be found here.</w:t>
                        </w:r>
                      </w:p>
                    </w:tc>
                  </w:tr>
                </w:tbl>
                <w:p w:rsidR="002C6401" w:rsidRDefault="002C6401">
                  <w:pPr>
                    <w:jc w:val="center"/>
                    <w:rPr>
                      <w:rFonts w:eastAsia="Times New Roman"/>
                      <w:sz w:val="20"/>
                      <w:szCs w:val="20"/>
                    </w:rPr>
                  </w:pPr>
                </w:p>
              </w:tc>
            </w:tr>
            <w:tr w:rsidR="002C6401">
              <w:trPr>
                <w:tblCellSpacing w:w="0" w:type="dxa"/>
                <w:jc w:val="center"/>
              </w:trPr>
              <w:tc>
                <w:tcPr>
                  <w:tcW w:w="0" w:type="auto"/>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2C6401">
                    <w:trPr>
                      <w:jc w:val="center"/>
                    </w:trPr>
                    <w:tc>
                      <w:tcPr>
                        <w:tcW w:w="0" w:type="auto"/>
                        <w:tcBorders>
                          <w:top w:val="single" w:sz="48" w:space="0" w:color="4F4F4F"/>
                          <w:left w:val="single" w:sz="48" w:space="0" w:color="4F4F4F"/>
                          <w:bottom w:val="single" w:sz="48" w:space="0" w:color="4F4F4F"/>
                          <w:right w:val="single" w:sz="48" w:space="0" w:color="4F4F4F"/>
                        </w:tcBorders>
                        <w:shd w:val="clear" w:color="auto" w:fill="E0E0E0"/>
                        <w:tcMar>
                          <w:top w:w="300" w:type="dxa"/>
                          <w:left w:w="300" w:type="dxa"/>
                          <w:bottom w:w="300" w:type="dxa"/>
                          <w:right w:w="300" w:type="dxa"/>
                        </w:tcMar>
                        <w:hideMark/>
                      </w:tcPr>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Cash machine firm set to charge at our stations</w:t>
                        </w:r>
                      </w:p>
                      <w:p w:rsidR="002C6401" w:rsidRDefault="002C6401">
                        <w:pPr>
                          <w:pStyle w:val="NormalWeb"/>
                          <w:spacing w:line="300" w:lineRule="auto"/>
                          <w:rPr>
                            <w:rFonts w:ascii="Arial" w:hAnsi="Arial" w:cs="Arial"/>
                            <w:color w:val="383838"/>
                            <w:sz w:val="21"/>
                            <w:szCs w:val="21"/>
                          </w:rPr>
                        </w:pPr>
                        <w:proofErr w:type="spellStart"/>
                        <w:r>
                          <w:rPr>
                            <w:rFonts w:ascii="Arial" w:hAnsi="Arial" w:cs="Arial"/>
                            <w:color w:val="383838"/>
                            <w:sz w:val="18"/>
                            <w:szCs w:val="18"/>
                          </w:rPr>
                          <w:t>Cardtronics</w:t>
                        </w:r>
                        <w:proofErr w:type="spellEnd"/>
                        <w:r>
                          <w:rPr>
                            <w:rFonts w:ascii="Arial" w:hAnsi="Arial" w:cs="Arial"/>
                            <w:color w:val="383838"/>
                            <w:sz w:val="18"/>
                            <w:szCs w:val="18"/>
                          </w:rPr>
                          <w:t>, the firm that owns all the cash machines (ATMs) at our stations, has told us they will begin charging people £1.99 for each withdrawal.</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Charges will be introduced at the first stations on Monday 6 August with more to follow in phases.</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GTR has no control over this decision but we have made clear our concerns at a high level with the company.</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We could choose to remove each machine, however we felt it was better to retain them to give customers a choice.</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The ATM market in the UK is under a cloud of uncertainty, largely caused by proposals made by key Link Network members to reduce the interbank Link fee paid to providers of cash machine over five years.</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There has been speculation that as many as 10,000 ATMs are under threat across the UK. </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Stakeholders may be interested to read the following article which explains the background to this industry-wide decision. </w:t>
                        </w:r>
                      </w:p>
                      <w:p w:rsidR="002C6401" w:rsidRDefault="002C6401">
                        <w:pPr>
                          <w:pStyle w:val="NormalWeb"/>
                          <w:spacing w:line="300" w:lineRule="auto"/>
                          <w:rPr>
                            <w:rFonts w:ascii="Arial" w:hAnsi="Arial" w:cs="Arial"/>
                            <w:color w:val="383838"/>
                            <w:sz w:val="21"/>
                            <w:szCs w:val="21"/>
                          </w:rPr>
                        </w:pPr>
                        <w:hyperlink r:id="rId7" w:tgtFrame="_blank" w:history="1">
                          <w:r>
                            <w:rPr>
                              <w:rStyle w:val="Hyperlink"/>
                              <w:rFonts w:ascii="Arial" w:hAnsi="Arial" w:cs="Arial"/>
                              <w:sz w:val="18"/>
                              <w:szCs w:val="18"/>
                            </w:rPr>
                            <w:t>https://www.independent.co.uk/news/business/news/cash-machines-closures-which-research-link-atm-operators-a8421831.html</w:t>
                          </w:r>
                        </w:hyperlink>
                      </w:p>
                    </w:tc>
                  </w:tr>
                </w:tbl>
                <w:p w:rsidR="002C6401" w:rsidRDefault="002C6401">
                  <w:pPr>
                    <w:jc w:val="center"/>
                    <w:rPr>
                      <w:rFonts w:eastAsia="Times New Roman"/>
                      <w:sz w:val="20"/>
                      <w:szCs w:val="20"/>
                    </w:rPr>
                  </w:pPr>
                </w:p>
              </w:tc>
            </w:tr>
          </w:tbl>
          <w:p w:rsidR="002C6401" w:rsidRDefault="002C6401">
            <w:pPr>
              <w:spacing w:line="360" w:lineRule="auto"/>
              <w:jc w:val="center"/>
              <w:rPr>
                <w:rFonts w:ascii="HelveticaNeue" w:eastAsia="Times New Roman" w:hAnsi="HelveticaNeue"/>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shd w:val="clear" w:color="auto" w:fill="D1ECEC"/>
                        <w:hideMark/>
                      </w:tcPr>
                      <w:tbl>
                        <w:tblPr>
                          <w:tblpPr w:leftFromText="45" w:rightFromText="45" w:vertAnchor="text"/>
                          <w:tblW w:w="9000" w:type="dxa"/>
                          <w:tblCellSpacing w:w="0" w:type="dxa"/>
                          <w:shd w:val="clear" w:color="auto" w:fill="D1ECEC"/>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shd w:val="clear" w:color="auto" w:fill="D1ECEC"/>
                              <w:tcMar>
                                <w:top w:w="150" w:type="dxa"/>
                                <w:left w:w="225" w:type="dxa"/>
                                <w:bottom w:w="150" w:type="dxa"/>
                                <w:right w:w="225" w:type="dxa"/>
                              </w:tcMar>
                              <w:hideMark/>
                            </w:tcPr>
                            <w:p w:rsidR="002C6401" w:rsidRDefault="002C6401" w:rsidP="002C6401">
                              <w:pPr>
                                <w:pStyle w:val="NormalWeb"/>
                                <w:spacing w:line="300" w:lineRule="auto"/>
                                <w:rPr>
                                  <w:rFonts w:ascii="Arial" w:hAnsi="Arial" w:cs="Arial"/>
                                  <w:color w:val="383838"/>
                                  <w:sz w:val="21"/>
                                  <w:szCs w:val="21"/>
                                </w:rPr>
                              </w:pP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r w:rsidR="002C6401">
              <w:trPr>
                <w:tblCellSpacing w:w="0" w:type="dxa"/>
                <w:jc w:val="center"/>
              </w:trPr>
              <w:tc>
                <w:tcPr>
                  <w:tcW w:w="0" w:type="auto"/>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C6401">
                    <w:trPr>
                      <w:jc w:val="center"/>
                    </w:trPr>
                    <w:tc>
                      <w:tcPr>
                        <w:tcW w:w="0" w:type="auto"/>
                        <w:tcBorders>
                          <w:top w:val="single" w:sz="36" w:space="0" w:color="E67A27"/>
                          <w:left w:val="single" w:sz="36" w:space="0" w:color="E67A27"/>
                          <w:bottom w:val="single" w:sz="36" w:space="0" w:color="E67A27"/>
                          <w:right w:val="single" w:sz="36" w:space="0" w:color="E67A27"/>
                        </w:tcBorders>
                        <w:shd w:val="clear" w:color="auto" w:fill="E0E0E0"/>
                        <w:tcMar>
                          <w:top w:w="300" w:type="dxa"/>
                          <w:left w:w="300" w:type="dxa"/>
                          <w:bottom w:w="300" w:type="dxa"/>
                          <w:right w:w="300" w:type="dxa"/>
                        </w:tcMar>
                        <w:hideMark/>
                      </w:tcPr>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Engineering works between Lewes to Seaford </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 xml:space="preserve">A reminder that Network Rail will be undertaking signalling works will take place between Lewes – </w:t>
                        </w:r>
                        <w:proofErr w:type="gramStart"/>
                        <w:r>
                          <w:rPr>
                            <w:rFonts w:ascii="Arial" w:hAnsi="Arial" w:cs="Arial"/>
                            <w:color w:val="383838"/>
                            <w:sz w:val="18"/>
                            <w:szCs w:val="18"/>
                          </w:rPr>
                          <w:t>Seaford  from</w:t>
                        </w:r>
                        <w:proofErr w:type="gramEnd"/>
                        <w:r>
                          <w:rPr>
                            <w:rFonts w:ascii="Arial" w:hAnsi="Arial" w:cs="Arial"/>
                            <w:color w:val="383838"/>
                            <w:sz w:val="18"/>
                            <w:szCs w:val="18"/>
                          </w:rPr>
                          <w:t xml:space="preserve"> 18 – 28 August 2018, closing the line between the two stations. Trains will still run between Brighton and Lewes with a replacement bus service 10 minutes in the peak and 15 in the off peak stopping at all stations to Seaford.</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Posters are on display at affected stations, and more information will be added to our website and on National Rail Enquiries next week.  During the closure staff will be on hand at all the station to assist passengers and provide water. More information can be found</w:t>
                        </w:r>
                        <w:proofErr w:type="gramStart"/>
                        <w:r>
                          <w:rPr>
                            <w:rFonts w:ascii="Arial" w:hAnsi="Arial" w:cs="Arial"/>
                            <w:color w:val="383838"/>
                            <w:sz w:val="18"/>
                            <w:szCs w:val="18"/>
                          </w:rPr>
                          <w:t xml:space="preserve">  </w:t>
                        </w:r>
                        <w:proofErr w:type="gramEnd"/>
                        <w:hyperlink r:id="rId8" w:tgtFrame="_blank" w:history="1">
                          <w:r>
                            <w:rPr>
                              <w:rStyle w:val="Hyperlink"/>
                              <w:rFonts w:ascii="Arial" w:hAnsi="Arial" w:cs="Arial"/>
                              <w:sz w:val="18"/>
                              <w:szCs w:val="18"/>
                            </w:rPr>
                            <w:t>here.</w:t>
                          </w:r>
                        </w:hyperlink>
                      </w:p>
                      <w:p w:rsidR="002C6401" w:rsidRDefault="002C6401">
                        <w:pPr>
                          <w:pStyle w:val="NormalWeb"/>
                          <w:spacing w:line="300" w:lineRule="auto"/>
                          <w:rPr>
                            <w:rFonts w:ascii="Arial" w:hAnsi="Arial" w:cs="Arial"/>
                            <w:color w:val="383838"/>
                            <w:sz w:val="21"/>
                            <w:szCs w:val="21"/>
                          </w:rPr>
                        </w:pPr>
                        <w:r>
                          <w:rPr>
                            <w:rStyle w:val="Strong"/>
                            <w:rFonts w:ascii="Arial" w:hAnsi="Arial" w:cs="Arial"/>
                            <w:color w:val="383838"/>
                            <w:sz w:val="18"/>
                            <w:szCs w:val="18"/>
                          </w:rPr>
                          <w:t> </w:t>
                        </w:r>
                      </w:p>
                    </w:tc>
                  </w:tr>
                </w:tbl>
                <w:p w:rsidR="002C6401" w:rsidRDefault="002C6401">
                  <w:pPr>
                    <w:jc w:val="center"/>
                    <w:rPr>
                      <w:rFonts w:eastAsia="Times New Roman"/>
                      <w:sz w:val="20"/>
                      <w:szCs w:val="20"/>
                    </w:rPr>
                  </w:pPr>
                </w:p>
              </w:tc>
            </w:tr>
          </w:tbl>
          <w:p w:rsidR="002C6401" w:rsidRDefault="002C6401">
            <w:pPr>
              <w:spacing w:line="360" w:lineRule="auto"/>
              <w:jc w:val="center"/>
              <w:rPr>
                <w:rFonts w:ascii="HelveticaNeue" w:eastAsia="Times New Roman" w:hAnsi="HelveticaNeue"/>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tcMar>
                    <w:top w:w="225" w:type="dxa"/>
                    <w:left w:w="225" w:type="dxa"/>
                    <w:bottom w:w="225" w:type="dxa"/>
                    <w:right w:w="225" w:type="dxa"/>
                  </w:tcMar>
                  <w:vAlign w:val="center"/>
                  <w:hideMark/>
                </w:tcPr>
                <w:p w:rsidR="002C6401" w:rsidRDefault="002C6401">
                  <w:pPr>
                    <w:jc w:val="center"/>
                    <w:rPr>
                      <w:rFonts w:eastAsia="Times New Roman"/>
                      <w:sz w:val="20"/>
                      <w:szCs w:val="20"/>
                    </w:rPr>
                  </w:pPr>
                </w:p>
              </w:tc>
            </w:tr>
            <w:tr w:rsidR="002C6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2C6401">
                          <w:trPr>
                            <w:tblCellSpacing w:w="0" w:type="dxa"/>
                          </w:trPr>
                          <w:tc>
                            <w:tcPr>
                              <w:tcW w:w="0" w:type="auto"/>
                              <w:tcMar>
                                <w:top w:w="75" w:type="dxa"/>
                                <w:left w:w="150" w:type="dxa"/>
                                <w:bottom w:w="75" w:type="dxa"/>
                                <w:right w:w="150" w:type="dxa"/>
                              </w:tcMar>
                              <w:hideMark/>
                            </w:tcPr>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 xml:space="preserve">In the meantime please do not hesitate to get in touch for further information through your normal contact or email </w:t>
                              </w:r>
                              <w:hyperlink r:id="rId9" w:history="1">
                                <w:r>
                                  <w:rPr>
                                    <w:rStyle w:val="Hyperlink"/>
                                    <w:rFonts w:ascii="Arial" w:hAnsi="Arial" w:cs="Arial"/>
                                    <w:sz w:val="18"/>
                                    <w:szCs w:val="18"/>
                                  </w:rPr>
                                  <w:t>gtr.stakeholders@gtrailway.com</w:t>
                                </w:r>
                              </w:hyperlink>
                              <w:r>
                                <w:rPr>
                                  <w:rFonts w:ascii="Arial" w:hAnsi="Arial" w:cs="Arial"/>
                                  <w:color w:val="383838"/>
                                  <w:sz w:val="18"/>
                                  <w:szCs w:val="18"/>
                                </w:rPr>
                                <w:t>.</w:t>
                              </w:r>
                            </w:p>
                            <w:p w:rsidR="002C6401" w:rsidRDefault="002C6401">
                              <w:pPr>
                                <w:pStyle w:val="NormalWeb"/>
                                <w:spacing w:line="300" w:lineRule="auto"/>
                                <w:rPr>
                                  <w:rFonts w:ascii="Arial" w:hAnsi="Arial" w:cs="Arial"/>
                                  <w:color w:val="383838"/>
                                  <w:sz w:val="21"/>
                                  <w:szCs w:val="21"/>
                                </w:rPr>
                              </w:pPr>
                              <w:r>
                                <w:rPr>
                                  <w:rFonts w:ascii="Arial" w:hAnsi="Arial" w:cs="Arial"/>
                                  <w:color w:val="383838"/>
                                  <w:sz w:val="18"/>
                                  <w:szCs w:val="18"/>
                                </w:rPr>
                                <w:t>Yours sincerely</w:t>
                              </w: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spacing w:line="360" w:lineRule="auto"/>
              <w:jc w:val="center"/>
              <w:rPr>
                <w:rFonts w:ascii="HelveticaNeue" w:eastAsia="Times New Roman" w:hAnsi="HelveticaNeue"/>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C6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25"/>
                    <w:gridCol w:w="150"/>
                    <w:gridCol w:w="4425"/>
                  </w:tblGrid>
                  <w:tr w:rsidR="002C6401">
                    <w:trPr>
                      <w:tblCellSpacing w:w="0" w:type="dxa"/>
                    </w:trPr>
                    <w:tc>
                      <w:tcPr>
                        <w:tcW w:w="0" w:type="auto"/>
                        <w:hideMark/>
                      </w:tcPr>
                      <w:tbl>
                        <w:tblPr>
                          <w:tblpPr w:leftFromText="45" w:rightFromText="45" w:vertAnchor="text"/>
                          <w:tblW w:w="4425" w:type="dxa"/>
                          <w:tblCellSpacing w:w="0" w:type="dxa"/>
                          <w:tblCellMar>
                            <w:left w:w="0" w:type="dxa"/>
                            <w:right w:w="0" w:type="dxa"/>
                          </w:tblCellMar>
                          <w:tblLook w:val="04A0" w:firstRow="1" w:lastRow="0" w:firstColumn="1" w:lastColumn="0" w:noHBand="0" w:noVBand="1"/>
                        </w:tblPr>
                        <w:tblGrid>
                          <w:gridCol w:w="4425"/>
                        </w:tblGrid>
                        <w:tr w:rsidR="002C6401">
                          <w:trPr>
                            <w:tblCellSpacing w:w="0" w:type="dxa"/>
                          </w:trPr>
                          <w:tc>
                            <w:tcPr>
                              <w:tcW w:w="0" w:type="auto"/>
                              <w:tcMar>
                                <w:top w:w="150" w:type="dxa"/>
                                <w:left w:w="300" w:type="dxa"/>
                                <w:bottom w:w="150" w:type="dxa"/>
                                <w:right w:w="300" w:type="dxa"/>
                              </w:tcMar>
                              <w:hideMark/>
                            </w:tcPr>
                            <w:p w:rsidR="002C6401" w:rsidRDefault="002C6401">
                              <w:pPr>
                                <w:rPr>
                                  <w:rFonts w:ascii="Arial" w:eastAsia="Times New Roman" w:hAnsi="Arial" w:cs="Arial"/>
                                  <w:color w:val="383838"/>
                                  <w:sz w:val="21"/>
                                  <w:szCs w:val="21"/>
                                </w:rPr>
                              </w:pPr>
                              <w:r>
                                <w:rPr>
                                  <w:rStyle w:val="Strong"/>
                                  <w:rFonts w:ascii="Arial" w:eastAsia="Times New Roman" w:hAnsi="Arial" w:cs="Arial"/>
                                  <w:color w:val="383838"/>
                                  <w:sz w:val="21"/>
                                  <w:szCs w:val="21"/>
                                </w:rPr>
                                <w:t>Nick Brown</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COO</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Govia Thameslink Railway</w:t>
                              </w:r>
                            </w:p>
                          </w:tc>
                        </w:tr>
                      </w:tbl>
                      <w:p w:rsidR="002C6401" w:rsidRDefault="002C6401">
                        <w:pPr>
                          <w:rPr>
                            <w:rFonts w:eastAsia="Times New Roman"/>
                            <w:sz w:val="20"/>
                            <w:szCs w:val="20"/>
                          </w:rPr>
                        </w:pPr>
                      </w:p>
                    </w:tc>
                    <w:tc>
                      <w:tcPr>
                        <w:tcW w:w="0" w:type="auto"/>
                        <w:hideMark/>
                      </w:tcPr>
                      <w:tbl>
                        <w:tblPr>
                          <w:tblpPr w:leftFromText="45" w:rightFromText="45" w:vertAnchor="text" w:tblpXSpec="right" w:tblpYSpec="center"/>
                          <w:tblW w:w="150" w:type="dxa"/>
                          <w:tblCellSpacing w:w="0" w:type="dxa"/>
                          <w:tblCellMar>
                            <w:left w:w="0" w:type="dxa"/>
                            <w:right w:w="0" w:type="dxa"/>
                          </w:tblCellMar>
                          <w:tblLook w:val="04A0" w:firstRow="1" w:lastRow="0" w:firstColumn="1" w:lastColumn="0" w:noHBand="0" w:noVBand="1"/>
                        </w:tblPr>
                        <w:tblGrid>
                          <w:gridCol w:w="150"/>
                        </w:tblGrid>
                        <w:tr w:rsidR="002C6401">
                          <w:trPr>
                            <w:tblCellSpacing w:w="0" w:type="dxa"/>
                          </w:trPr>
                          <w:tc>
                            <w:tcPr>
                              <w:tcW w:w="0" w:type="auto"/>
                              <w:vAlign w:val="center"/>
                              <w:hideMark/>
                            </w:tcPr>
                            <w:p w:rsidR="002C6401" w:rsidRDefault="002C6401">
                              <w:pPr>
                                <w:rPr>
                                  <w:rFonts w:eastAsia="Times New Roman"/>
                                  <w:sz w:val="20"/>
                                  <w:szCs w:val="20"/>
                                </w:rPr>
                              </w:pPr>
                            </w:p>
                          </w:tc>
                        </w:tr>
                      </w:tbl>
                      <w:p w:rsidR="002C6401" w:rsidRDefault="002C6401">
                        <w:pPr>
                          <w:rPr>
                            <w:rFonts w:eastAsia="Times New Roman"/>
                            <w:sz w:val="20"/>
                            <w:szCs w:val="20"/>
                          </w:rPr>
                        </w:pPr>
                      </w:p>
                    </w:tc>
                    <w:tc>
                      <w:tcPr>
                        <w:tcW w:w="0" w:type="auto"/>
                        <w:hideMark/>
                      </w:tcPr>
                      <w:tbl>
                        <w:tblPr>
                          <w:tblpPr w:leftFromText="45" w:rightFromText="45" w:vertAnchor="text" w:tblpXSpec="right" w:tblpYSpec="center"/>
                          <w:tblW w:w="4425" w:type="dxa"/>
                          <w:tblCellSpacing w:w="0" w:type="dxa"/>
                          <w:tblCellMar>
                            <w:left w:w="0" w:type="dxa"/>
                            <w:right w:w="0" w:type="dxa"/>
                          </w:tblCellMar>
                          <w:tblLook w:val="04A0" w:firstRow="1" w:lastRow="0" w:firstColumn="1" w:lastColumn="0" w:noHBand="0" w:noVBand="1"/>
                        </w:tblPr>
                        <w:tblGrid>
                          <w:gridCol w:w="4425"/>
                        </w:tblGrid>
                        <w:tr w:rsidR="002C6401">
                          <w:trPr>
                            <w:tblCellSpacing w:w="0" w:type="dxa"/>
                          </w:trPr>
                          <w:tc>
                            <w:tcPr>
                              <w:tcW w:w="0" w:type="auto"/>
                              <w:tcMar>
                                <w:top w:w="150" w:type="dxa"/>
                                <w:left w:w="300" w:type="dxa"/>
                                <w:bottom w:w="150" w:type="dxa"/>
                                <w:right w:w="300" w:type="dxa"/>
                              </w:tcMar>
                              <w:hideMark/>
                            </w:tcPr>
                            <w:p w:rsidR="002C6401" w:rsidRDefault="002C6401">
                              <w:pPr>
                                <w:rPr>
                                  <w:rFonts w:ascii="Arial" w:eastAsia="Times New Roman" w:hAnsi="Arial" w:cs="Arial"/>
                                  <w:color w:val="383838"/>
                                  <w:sz w:val="21"/>
                                  <w:szCs w:val="21"/>
                                </w:rPr>
                              </w:pPr>
                              <w:r>
                                <w:rPr>
                                  <w:rStyle w:val="Strong"/>
                                  <w:rFonts w:ascii="Arial" w:eastAsia="Times New Roman" w:hAnsi="Arial" w:cs="Arial"/>
                                  <w:color w:val="383838"/>
                                  <w:sz w:val="21"/>
                                  <w:szCs w:val="21"/>
                                </w:rPr>
                                <w:t xml:space="preserve">John </w:t>
                              </w:r>
                              <w:proofErr w:type="spellStart"/>
                              <w:r>
                                <w:rPr>
                                  <w:rStyle w:val="Strong"/>
                                  <w:rFonts w:ascii="Arial" w:eastAsia="Times New Roman" w:hAnsi="Arial" w:cs="Arial"/>
                                  <w:color w:val="383838"/>
                                  <w:sz w:val="21"/>
                                  <w:szCs w:val="21"/>
                                </w:rPr>
                                <w:t>Halsall</w:t>
                              </w:r>
                              <w:proofErr w:type="spellEnd"/>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Route Managing Director</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Network Rail South East</w:t>
                              </w:r>
                            </w:p>
                          </w:tc>
                        </w:tr>
                      </w:tbl>
                      <w:p w:rsidR="002C6401" w:rsidRDefault="002C6401">
                        <w:pPr>
                          <w:rPr>
                            <w:rFonts w:eastAsia="Times New Roman"/>
                            <w:sz w:val="20"/>
                            <w:szCs w:val="20"/>
                          </w:rPr>
                        </w:pPr>
                      </w:p>
                    </w:tc>
                  </w:tr>
                </w:tbl>
                <w:p w:rsidR="002C6401" w:rsidRDefault="002C6401">
                  <w:pPr>
                    <w:rPr>
                      <w:rFonts w:eastAsia="Times New Roman"/>
                      <w:sz w:val="20"/>
                      <w:szCs w:val="20"/>
                    </w:rPr>
                  </w:pPr>
                </w:p>
              </w:tc>
            </w:tr>
          </w:tbl>
          <w:p w:rsidR="002C6401" w:rsidRDefault="002C6401">
            <w:pPr>
              <w:jc w:val="center"/>
              <w:rPr>
                <w:rFonts w:eastAsia="Times New Roman"/>
                <w:sz w:val="20"/>
                <w:szCs w:val="20"/>
              </w:rPr>
            </w:pPr>
          </w:p>
        </w:tc>
      </w:tr>
    </w:tbl>
    <w:p w:rsidR="0068079F" w:rsidRDefault="0068079F"/>
    <w:sectPr w:rsidR="0068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01"/>
    <w:rsid w:val="000F3A3D"/>
    <w:rsid w:val="002C6401"/>
    <w:rsid w:val="0068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8EFB-26E5-4289-98BC-6D4785A2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0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C64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640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C6401"/>
    <w:rPr>
      <w:color w:val="0000FF"/>
      <w:u w:val="single"/>
    </w:rPr>
  </w:style>
  <w:style w:type="paragraph" w:styleId="NormalWeb">
    <w:name w:val="Normal (Web)"/>
    <w:basedOn w:val="Normal"/>
    <w:uiPriority w:val="99"/>
    <w:unhideWhenUsed/>
    <w:rsid w:val="002C6401"/>
    <w:pPr>
      <w:spacing w:before="100" w:beforeAutospacing="1" w:after="100" w:afterAutospacing="1"/>
    </w:pPr>
  </w:style>
  <w:style w:type="character" w:styleId="Strong">
    <w:name w:val="Strong"/>
    <w:basedOn w:val="DefaultParagraphFont"/>
    <w:uiPriority w:val="22"/>
    <w:qFormat/>
    <w:rsid w:val="002C6401"/>
    <w:rPr>
      <w:b/>
      <w:bCs/>
    </w:rPr>
  </w:style>
  <w:style w:type="character" w:styleId="Emphasis">
    <w:name w:val="Emphasis"/>
    <w:basedOn w:val="DefaultParagraphFont"/>
    <w:uiPriority w:val="20"/>
    <w:qFormat/>
    <w:rsid w:val="002C6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Lc8BCD135C3zrrEs0uXoP?domain=gtrailway.benchurl.com" TargetMode="External"/><Relationship Id="rId3" Type="http://schemas.openxmlformats.org/officeDocument/2006/relationships/webSettings" Target="webSettings.xml"/><Relationship Id="rId7" Type="http://schemas.openxmlformats.org/officeDocument/2006/relationships/hyperlink" Target="https://protect-eu.mimecast.com/s/RQZXCAN35CEXJJwT6CEtx?domain=gtrailway.benchur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OgdGCzvMGf4ZNNkFnHgTh?domain=gtrailway.benchur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tr.stakeholders@gtrail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1</cp:revision>
  <dcterms:created xsi:type="dcterms:W3CDTF">2018-08-06T11:49:00Z</dcterms:created>
  <dcterms:modified xsi:type="dcterms:W3CDTF">2018-08-06T14:11:00Z</dcterms:modified>
</cp:coreProperties>
</file>